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622B5" w14:textId="52D7C67A" w:rsidR="001552D8" w:rsidRPr="00E2686D" w:rsidRDefault="001552D8" w:rsidP="008A0899">
      <w:pPr>
        <w:rPr>
          <w:b/>
          <w:bCs/>
          <w:sz w:val="28"/>
          <w:szCs w:val="28"/>
          <w:lang w:val="en-US"/>
        </w:rPr>
      </w:pPr>
      <w:r w:rsidRPr="00E2686D">
        <w:rPr>
          <w:b/>
          <w:bCs/>
          <w:sz w:val="28"/>
          <w:szCs w:val="28"/>
          <w:lang w:val="en-US"/>
        </w:rPr>
        <w:t xml:space="preserve">FIRST </w:t>
      </w:r>
      <w:r w:rsidR="00FE070A">
        <w:rPr>
          <w:b/>
          <w:bCs/>
          <w:sz w:val="28"/>
          <w:szCs w:val="28"/>
          <w:lang w:val="en-US"/>
        </w:rPr>
        <w:t>Event Ankündigung</w:t>
      </w:r>
    </w:p>
    <w:p w14:paraId="1FEF46CF" w14:textId="4D71C1FB" w:rsidR="00293087" w:rsidRPr="00E2686D" w:rsidRDefault="00E2686D" w:rsidP="008A0899">
      <w:pPr>
        <w:rPr>
          <w:lang w:val="en-US"/>
        </w:rPr>
      </w:pPr>
      <w:r w:rsidRPr="00E2686D">
        <w:rPr>
          <w:lang w:val="en-US"/>
        </w:rPr>
        <w:t>Co</w:t>
      </w:r>
      <w:r>
        <w:rPr>
          <w:lang w:val="en-US"/>
        </w:rPr>
        <w:t>ntact</w:t>
      </w:r>
      <w:r w:rsidR="00293087" w:rsidRPr="00E2686D">
        <w:rPr>
          <w:lang w:val="en-US"/>
        </w:rPr>
        <w:t xml:space="preserve">: </w:t>
      </w:r>
      <w:hyperlink r:id="rId7" w:history="1">
        <w:r w:rsidR="00293087" w:rsidRPr="00E2686D">
          <w:rPr>
            <w:rStyle w:val="Hyperlink"/>
            <w:lang w:val="en-US"/>
          </w:rPr>
          <w:t>birgit.metzger@mikroelektronik.fraunhofer.de</w:t>
        </w:r>
      </w:hyperlink>
    </w:p>
    <w:p w14:paraId="1071B40E" w14:textId="77777777" w:rsidR="001552D8" w:rsidRPr="00E2686D" w:rsidRDefault="001552D8" w:rsidP="008A0899">
      <w:pPr>
        <w:rPr>
          <w:b/>
          <w:bCs/>
          <w:lang w:val="en-US"/>
        </w:rPr>
      </w:pPr>
    </w:p>
    <w:p w14:paraId="121743D9" w14:textId="4AB0269F" w:rsidR="00FE070A" w:rsidRPr="004C1DB8" w:rsidRDefault="00FE070A" w:rsidP="00FE070A">
      <w:pPr>
        <w:rPr>
          <w:b/>
          <w:bCs/>
        </w:rPr>
      </w:pPr>
      <w:r w:rsidRPr="00B93150">
        <w:rPr>
          <w:b/>
          <w:bCs/>
          <w:highlight w:val="yellow"/>
        </w:rPr>
        <w:t>2.</w:t>
      </w:r>
      <w:r w:rsidR="00B6794F">
        <w:rPr>
          <w:b/>
          <w:bCs/>
          <w:highlight w:val="yellow"/>
        </w:rPr>
        <w:t>774</w:t>
      </w:r>
      <w:r w:rsidRPr="00B93150">
        <w:rPr>
          <w:b/>
          <w:bCs/>
          <w:highlight w:val="yellow"/>
        </w:rPr>
        <w:t xml:space="preserve"> Zeichen mit Leerzeichen</w:t>
      </w:r>
    </w:p>
    <w:p w14:paraId="2192857F" w14:textId="77777777" w:rsidR="00FE070A" w:rsidRDefault="00FE070A" w:rsidP="00FE070A">
      <w:pPr>
        <w:rPr>
          <w:b/>
          <w:bCs/>
        </w:rPr>
      </w:pPr>
      <w:r w:rsidRPr="00830A47">
        <w:rPr>
          <w:b/>
          <w:bCs/>
        </w:rPr>
        <w:t xml:space="preserve">FIRST by FMD – </w:t>
      </w:r>
      <w:r>
        <w:rPr>
          <w:b/>
          <w:bCs/>
        </w:rPr>
        <w:t>Die</w:t>
      </w:r>
      <w:r w:rsidRPr="004D0D38">
        <w:rPr>
          <w:b/>
          <w:bCs/>
        </w:rPr>
        <w:t xml:space="preserve"> europäische Konferenz zu Trends, Roadmaps und strategischer Ausrichtung in der Mikroelektronik </w:t>
      </w:r>
    </w:p>
    <w:p w14:paraId="0D180C51" w14:textId="77777777" w:rsidR="00FE070A" w:rsidRPr="00597ADB" w:rsidRDefault="00FE070A" w:rsidP="00FE070A">
      <w:r w:rsidRPr="00044B15">
        <w:rPr>
          <w:b/>
          <w:bCs/>
          <w:lang w:val="en-US"/>
        </w:rPr>
        <w:t>FIRST by FMD</w:t>
      </w:r>
      <w:r w:rsidRPr="00597ADB">
        <w:rPr>
          <w:lang w:val="en-US"/>
        </w:rPr>
        <w:t xml:space="preserve"> bringt am 30. </w:t>
      </w:r>
      <w:r w:rsidRPr="00597ADB">
        <w:t>September und 1. Oktober 2026 in Berlin die führenden Köpfe zusammen, die Europas Mikroelektronik-Zukunft gestalten.</w:t>
      </w:r>
    </w:p>
    <w:p w14:paraId="6E9D3539" w14:textId="77777777" w:rsidR="00FE070A" w:rsidRDefault="00FE070A" w:rsidP="00FE070A">
      <w:r w:rsidRPr="00044B15">
        <w:rPr>
          <w:b/>
          <w:bCs/>
        </w:rPr>
        <w:t>FIRST</w:t>
      </w:r>
      <w:r w:rsidRPr="00044B15">
        <w:t xml:space="preserve"> ist ein hochrangiges Trendforum für alle, die Technologie in industrielle Wertschöpfung überführen.</w:t>
      </w:r>
      <w:r>
        <w:t xml:space="preserve"> </w:t>
      </w:r>
      <w:r w:rsidRPr="00597ADB">
        <w:t>Halbleiter sind längst mehr als Komponenten – sie bilden die Grundlage für wirtschaftliche Resilienz, technologische Souveränität, Sicherheit und nachhaltiges Wachstum. Mit Initiativen wie dem EU Chips Act und der Hightech Agenda Deutschland rückt die strategische Bedeutung der europäischen Mikroelektronik stärker denn je in den Fokus.</w:t>
      </w:r>
    </w:p>
    <w:p w14:paraId="1F55E6DA" w14:textId="77777777" w:rsidR="00B6794F" w:rsidRDefault="00FE070A" w:rsidP="00FE070A">
      <w:r w:rsidRPr="009067DB">
        <w:rPr>
          <w:b/>
          <w:bCs/>
        </w:rPr>
        <w:t xml:space="preserve">FIRST – Fast Innovation through Research in Semiconductor Technologies – </w:t>
      </w:r>
      <w:r w:rsidRPr="009067DB">
        <w:t xml:space="preserve">bringt Entscheidungsträger:innen aus Industrie, Politik und Forschung in einem gezielt kuratierten Format zusammen. Die Konferenz eröffnet strategisch relevante Einblicke in neue Technologien, industrielle Roadmaps und zukünftige Infrastrukturentwicklungen. Vertreter:innen der gesamten Halbleiter-Wertschöpfungskette treffen hier auf Führungskräfte aus zentralen Anwendungsbranchen wie AI, Automotive, Healthcare, Industrial Manufacturing, Telecommunications und Energy. </w:t>
      </w:r>
    </w:p>
    <w:p w14:paraId="5795BFFB" w14:textId="5DC848DA" w:rsidR="00B6794F" w:rsidRDefault="00B6794F" w:rsidP="00FE070A">
      <w:r w:rsidRPr="00B6794F">
        <w:t xml:space="preserve">Zu den bereits bestätigten </w:t>
      </w:r>
      <w:r>
        <w:t>Speakern</w:t>
      </w:r>
      <w:r w:rsidRPr="00B6794F">
        <w:t xml:space="preserve"> zählen führende Persönlichkeiten aus Industrie, Forschung und Politik – darunter Vertreter</w:t>
      </w:r>
      <w:r>
        <w:t xml:space="preserve"> und Vertreterinnen</w:t>
      </w:r>
      <w:r w:rsidRPr="00B6794F">
        <w:t xml:space="preserve"> von Fraunhofer, Intel, GlobalFoundries, Silicon Saxony, Siemens Healthineers und dem Bundesministerium für Forschung, Technologie und Raumfahrt</w:t>
      </w:r>
      <w:r w:rsidR="002A5CD6">
        <w:t xml:space="preserve"> (BMFTR)</w:t>
      </w:r>
      <w:r w:rsidRPr="00B6794F">
        <w:t>.</w:t>
      </w:r>
    </w:p>
    <w:p w14:paraId="200FB595" w14:textId="3D85F85C" w:rsidR="00FE070A" w:rsidRPr="009067DB" w:rsidRDefault="00FE070A" w:rsidP="00FE070A">
      <w:pPr>
        <w:rPr>
          <w:b/>
          <w:bCs/>
        </w:rPr>
      </w:pPr>
      <w:r w:rsidRPr="009067DB">
        <w:t>Wer Innovationen, Produktstrategien oder Technologie-Roadmaps verantwortet, findet bei FIRST den Ort, an dem Europas Halbleiterzukunft zur unternehmerischen Realität wird.</w:t>
      </w:r>
    </w:p>
    <w:p w14:paraId="15B5E1EF" w14:textId="77777777" w:rsidR="00FE070A" w:rsidRPr="00F97B19" w:rsidRDefault="00FE070A" w:rsidP="00FE070A">
      <w:pPr>
        <w:rPr>
          <w:b/>
          <w:bCs/>
        </w:rPr>
      </w:pPr>
      <w:r w:rsidRPr="00F97B19">
        <w:rPr>
          <w:b/>
          <w:bCs/>
        </w:rPr>
        <w:t>Programmschwerpunkte bei FIRST 2026</w:t>
      </w:r>
    </w:p>
    <w:p w14:paraId="7DA94844" w14:textId="77777777" w:rsidR="00FE070A" w:rsidRDefault="00FE070A" w:rsidP="00FE070A">
      <w:r w:rsidRPr="009067DB">
        <w:t>• Gewinnen Sie frühzeitig Einblicke in neue Technologien und Markttrends</w:t>
      </w:r>
      <w:r w:rsidRPr="009067DB">
        <w:br/>
        <w:t>• Erschließen Sie strategische Partnerschaften entlang der gesamten Wertschöpfungskette</w:t>
      </w:r>
      <w:r w:rsidRPr="009067DB">
        <w:br/>
        <w:t>• Gewinnen Sie Orientierung für eine schnellere Überführung von Innovationen in industrielle Anwendungen</w:t>
      </w:r>
      <w:r w:rsidRPr="009067DB">
        <w:br/>
        <w:t xml:space="preserve">• Vernetzen Sie sich mit den führenden Entscheidungsträger:innen der europäischen </w:t>
      </w:r>
      <w:r w:rsidRPr="009067DB">
        <w:lastRenderedPageBreak/>
        <w:t>Halbleiterindustrie</w:t>
      </w:r>
      <w:r w:rsidRPr="009067DB">
        <w:br/>
        <w:t>• Gewinnen Sie Einblicke in industrielle Roadmaps und strategische Entwicklungen</w:t>
      </w:r>
    </w:p>
    <w:p w14:paraId="62464C9E" w14:textId="77777777" w:rsidR="00FE070A" w:rsidRPr="00B93150" w:rsidRDefault="00FE070A" w:rsidP="00FE070A">
      <w:r w:rsidRPr="00B93150">
        <w:t>Ein weiterer strategischer Schwerpunkt ist die APECS-Pilotlinie, die von der Forschungsfabrik Mikroelektronik Deutschland FMD umgesetzt wird. Sie schafft eine industrieorientierte Entwicklungs- und Transferumgebung für Advanced Packaging und Design als zentrale Schlüsseltechnologien für Chiplet-Architekturen und heterogene Integration – und stärkt damit Innovation und Wertschöpfung entlang der europäischen Halbleiterwertschöpfungskette.</w:t>
      </w:r>
    </w:p>
    <w:p w14:paraId="3DF6233D" w14:textId="77777777" w:rsidR="00FE070A" w:rsidRPr="00830A47" w:rsidRDefault="00FE070A" w:rsidP="00FE070A">
      <w:r w:rsidRPr="00830A47">
        <w:rPr>
          <w:b/>
          <w:bCs/>
        </w:rPr>
        <w:t>Jetzt anmelden</w:t>
      </w:r>
      <w:r w:rsidRPr="00830A47">
        <w:br/>
        <w:t xml:space="preserve">Sichern Sie sich Ihren Platz bei FIRST 2026 und gestalten Sie die Zukunft </w:t>
      </w:r>
      <w:r>
        <w:t xml:space="preserve">Europas </w:t>
      </w:r>
      <w:r w:rsidRPr="00830A47">
        <w:t>aktiv mit.</w:t>
      </w:r>
    </w:p>
    <w:p w14:paraId="2F9D40C5" w14:textId="073F6A8A" w:rsidR="00FE070A" w:rsidRPr="00FE070A" w:rsidRDefault="00FE070A" w:rsidP="00FE070A">
      <w:pPr>
        <w:rPr>
          <w:b/>
          <w:bCs/>
        </w:rPr>
      </w:pPr>
      <w:r w:rsidRPr="00FE070A">
        <w:rPr>
          <w:b/>
          <w:bCs/>
        </w:rPr>
        <w:t xml:space="preserve">Weitere Informationen: </w:t>
      </w:r>
      <w:hyperlink r:id="rId8" w:history="1">
        <w:r w:rsidRPr="00B93150">
          <w:rPr>
            <w:rStyle w:val="Hyperlink"/>
            <w:b/>
            <w:bCs/>
          </w:rPr>
          <w:t>first-by-fmd.de</w:t>
        </w:r>
      </w:hyperlink>
    </w:p>
    <w:p w14:paraId="3ECA93CB" w14:textId="77777777" w:rsidR="00FE070A" w:rsidRPr="009465B4" w:rsidRDefault="00FE070A" w:rsidP="00FE070A">
      <w:pPr>
        <w:rPr>
          <w:b/>
          <w:bCs/>
        </w:rPr>
      </w:pPr>
    </w:p>
    <w:p w14:paraId="7C949E7F" w14:textId="764187D9" w:rsidR="00FE070A" w:rsidRPr="00B93150" w:rsidRDefault="00FE070A" w:rsidP="00FE070A">
      <w:pPr>
        <w:tabs>
          <w:tab w:val="left" w:pos="6114"/>
        </w:tabs>
        <w:rPr>
          <w:b/>
          <w:bCs/>
        </w:rPr>
      </w:pPr>
      <w:r w:rsidRPr="00B93150">
        <w:rPr>
          <w:b/>
          <w:bCs/>
          <w:highlight w:val="yellow"/>
        </w:rPr>
        <w:t>1.</w:t>
      </w:r>
      <w:r w:rsidR="00B6794F">
        <w:rPr>
          <w:b/>
          <w:bCs/>
          <w:highlight w:val="yellow"/>
        </w:rPr>
        <w:t>418</w:t>
      </w:r>
      <w:r w:rsidRPr="00B93150">
        <w:rPr>
          <w:b/>
          <w:bCs/>
          <w:highlight w:val="yellow"/>
        </w:rPr>
        <w:t xml:space="preserve"> Zeichen mit Leerzeichen</w:t>
      </w:r>
    </w:p>
    <w:p w14:paraId="6C91607A" w14:textId="77777777" w:rsidR="00FE070A" w:rsidRPr="00B93150" w:rsidRDefault="00FE070A" w:rsidP="00FE070A">
      <w:pPr>
        <w:tabs>
          <w:tab w:val="left" w:pos="6114"/>
        </w:tabs>
        <w:rPr>
          <w:b/>
          <w:bCs/>
        </w:rPr>
      </w:pPr>
      <w:r w:rsidRPr="00B93150">
        <w:rPr>
          <w:b/>
          <w:bCs/>
        </w:rPr>
        <w:t>FIRST by FMD – Die europäische Konferenz zu Trends, Roadmaps und strategischer Ausrichtung in der Mikroelektronik</w:t>
      </w:r>
    </w:p>
    <w:p w14:paraId="202F095B" w14:textId="77777777" w:rsidR="00FE070A" w:rsidRPr="00B93150" w:rsidRDefault="00FE070A" w:rsidP="00FE070A">
      <w:pPr>
        <w:tabs>
          <w:tab w:val="left" w:pos="6114"/>
        </w:tabs>
      </w:pPr>
      <w:r w:rsidRPr="00B93150">
        <w:rPr>
          <w:b/>
          <w:bCs/>
        </w:rPr>
        <w:t>FIRST by FMD – Fast Innovation through Research in Semiconductor Technologies</w:t>
      </w:r>
      <w:r w:rsidRPr="00B93150">
        <w:t xml:space="preserve"> – ist ein hochrangiges europäisches Trendforum für alle, die Technologie in industrielle Wertschöpfung überführen. Die Konferenz bringt Entscheidungsträger:innen aus Industrie, Politik und Forschung zusammen, um Europas Mikroelektronik-Zukunft aktiv zu gestalten.</w:t>
      </w:r>
    </w:p>
    <w:p w14:paraId="2CBC6A2F" w14:textId="77777777" w:rsidR="00DD464F" w:rsidRDefault="00DD464F" w:rsidP="00FE070A">
      <w:pPr>
        <w:tabs>
          <w:tab w:val="left" w:pos="6114"/>
        </w:tabs>
      </w:pPr>
      <w:r w:rsidRPr="00DD464F">
        <w:rPr>
          <w:b/>
          <w:bCs/>
        </w:rPr>
        <w:t>FIRST</w:t>
      </w:r>
      <w:r w:rsidRPr="00DD464F">
        <w:t xml:space="preserve"> bietet ein gezielt kuratiertes Programm mit relevanten Einblicken in neue Technologien, industrielle Roadmaps und zukünftige Infrastrukturentwicklungen. Im Fokus stehen dabei die strategischen Chancen und Herausforderungen im Kontext des EU Chips Act und der Hightech Agenda Deutschland.</w:t>
      </w:r>
    </w:p>
    <w:p w14:paraId="5DB84AF7" w14:textId="64761287" w:rsidR="00B6794F" w:rsidRPr="00DD464F" w:rsidRDefault="00B6794F" w:rsidP="00FE070A">
      <w:pPr>
        <w:tabs>
          <w:tab w:val="left" w:pos="6114"/>
        </w:tabs>
      </w:pPr>
      <w:r w:rsidRPr="00B6794F">
        <w:t xml:space="preserve">Zu den bereits bestätigten </w:t>
      </w:r>
      <w:r w:rsidR="00A47B3B">
        <w:t>Speakern</w:t>
      </w:r>
      <w:r w:rsidRPr="00B6794F">
        <w:t xml:space="preserve"> zählen führende Persönlichkeiten aus Industrie, Forschung und Politik – darunter Vertreter</w:t>
      </w:r>
      <w:r w:rsidR="00A47B3B">
        <w:t xml:space="preserve"> und Vertreterinnen</w:t>
      </w:r>
      <w:r w:rsidRPr="00B6794F">
        <w:t xml:space="preserve"> von Fraunhofer, Intel, GlobalFoundries, Silicon Saxony, Siemens Healthineers und dem Bundesministerium für Forschung, Technologie und Raumfahrt</w:t>
      </w:r>
      <w:r w:rsidR="002A5CD6">
        <w:t xml:space="preserve"> (BMFTR)</w:t>
      </w:r>
      <w:r w:rsidRPr="00B6794F">
        <w:t>.</w:t>
      </w:r>
    </w:p>
    <w:p w14:paraId="13571971" w14:textId="3D5CD0A0" w:rsidR="00FE070A" w:rsidRPr="00B93150" w:rsidRDefault="00FE070A" w:rsidP="00FE070A">
      <w:pPr>
        <w:tabs>
          <w:tab w:val="left" w:pos="6114"/>
        </w:tabs>
      </w:pPr>
      <w:r w:rsidRPr="00B93150">
        <w:t xml:space="preserve">Bei </w:t>
      </w:r>
      <w:r w:rsidRPr="00B93150">
        <w:rPr>
          <w:b/>
          <w:bCs/>
        </w:rPr>
        <w:t>FIRST</w:t>
      </w:r>
      <w:r w:rsidRPr="00B93150">
        <w:t xml:space="preserve"> begegnen sich Vertreter:innen der gesamten Halbleiter-Wertschöpfungskette sowie Führungskräfte aus zentralen Anwendungsbranchen wie AI, Automotive, Healthcare, Industrial Manufacturing, Telecommunications und Energy.</w:t>
      </w:r>
    </w:p>
    <w:p w14:paraId="0F77CBC3" w14:textId="77777777" w:rsidR="00FE070A" w:rsidRPr="00B93150" w:rsidRDefault="00FE070A" w:rsidP="00FE070A">
      <w:pPr>
        <w:tabs>
          <w:tab w:val="left" w:pos="6114"/>
        </w:tabs>
      </w:pPr>
      <w:r w:rsidRPr="00B93150">
        <w:t>Ein besonderer Schwerpunkt liegt auf der APECS-Pilotlinie, die Advanced Packaging und Design als Schlüsseltechnologien für Chiplet-Architekturen und heterogene Integration adressiert.</w:t>
      </w:r>
    </w:p>
    <w:p w14:paraId="01D0A4CD" w14:textId="4C72D5C5" w:rsidR="00FE070A" w:rsidRPr="00B93150" w:rsidRDefault="00FE070A" w:rsidP="00FE070A">
      <w:pPr>
        <w:tabs>
          <w:tab w:val="left" w:pos="6114"/>
        </w:tabs>
        <w:rPr>
          <w:b/>
          <w:bCs/>
        </w:rPr>
      </w:pPr>
      <w:r w:rsidRPr="00B93150">
        <w:rPr>
          <w:b/>
          <w:bCs/>
        </w:rPr>
        <w:lastRenderedPageBreak/>
        <w:t xml:space="preserve">Weitere Informationen: </w:t>
      </w:r>
      <w:hyperlink r:id="rId9" w:history="1">
        <w:r w:rsidRPr="00B93150">
          <w:rPr>
            <w:rStyle w:val="Hyperlink"/>
            <w:b/>
            <w:bCs/>
          </w:rPr>
          <w:t>first-by-fmd.de</w:t>
        </w:r>
      </w:hyperlink>
    </w:p>
    <w:p w14:paraId="3C4EFF59" w14:textId="77777777" w:rsidR="00FE070A" w:rsidRDefault="00FE070A" w:rsidP="00FE070A"/>
    <w:p w14:paraId="62F634D8" w14:textId="322EBDE9" w:rsidR="008A0899" w:rsidRDefault="008A0899" w:rsidP="00ED5AFE">
      <w:pPr>
        <w:rPr>
          <w:lang w:val="en-US"/>
        </w:rPr>
      </w:pPr>
    </w:p>
    <w:p w14:paraId="19289AEB" w14:textId="30D898B8" w:rsidR="008A0899" w:rsidRPr="008A0899" w:rsidRDefault="008A0899" w:rsidP="003E3971">
      <w:pPr>
        <w:rPr>
          <w:lang w:val="en-US"/>
        </w:rPr>
      </w:pPr>
    </w:p>
    <w:sectPr w:rsidR="008A0899" w:rsidRPr="008A0899">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77F8" w14:textId="77777777" w:rsidR="00293087" w:rsidRDefault="00293087" w:rsidP="00293087">
      <w:pPr>
        <w:spacing w:after="0" w:line="240" w:lineRule="auto"/>
      </w:pPr>
      <w:r>
        <w:separator/>
      </w:r>
    </w:p>
  </w:endnote>
  <w:endnote w:type="continuationSeparator" w:id="0">
    <w:p w14:paraId="4B6F171E" w14:textId="77777777" w:rsidR="00293087" w:rsidRDefault="00293087" w:rsidP="00293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E36C" w14:textId="77777777" w:rsidR="00293087" w:rsidRDefault="00293087" w:rsidP="00293087">
      <w:pPr>
        <w:spacing w:after="0" w:line="240" w:lineRule="auto"/>
      </w:pPr>
      <w:r>
        <w:separator/>
      </w:r>
    </w:p>
  </w:footnote>
  <w:footnote w:type="continuationSeparator" w:id="0">
    <w:p w14:paraId="3B8CC01B" w14:textId="77777777" w:rsidR="00293087" w:rsidRDefault="00293087" w:rsidP="00293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5374" w14:textId="19096884" w:rsidR="00293087" w:rsidRDefault="00293087" w:rsidP="00293087">
    <w:pPr>
      <w:pStyle w:val="Kopfzeile"/>
      <w:jc w:val="right"/>
    </w:pPr>
    <w:r>
      <w:rPr>
        <w:b/>
        <w:noProof/>
      </w:rPr>
      <w:drawing>
        <wp:inline distT="0" distB="0" distL="0" distR="0" wp14:anchorId="18FB4BF9" wp14:editId="7B9E55E3">
          <wp:extent cx="2641600" cy="466165"/>
          <wp:effectExtent l="0" t="0" r="6350" b="0"/>
          <wp:docPr id="20823277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3713" cy="475361"/>
                  </a:xfrm>
                  <a:prstGeom prst="rect">
                    <a:avLst/>
                  </a:prstGeom>
                  <a:noFill/>
                  <a:ln>
                    <a:noFill/>
                  </a:ln>
                </pic:spPr>
              </pic:pic>
            </a:graphicData>
          </a:graphic>
        </wp:inline>
      </w:drawing>
    </w:r>
  </w:p>
  <w:p w14:paraId="37197837" w14:textId="77777777" w:rsidR="00293087" w:rsidRDefault="00293087" w:rsidP="0029308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917A4"/>
    <w:multiLevelType w:val="multilevel"/>
    <w:tmpl w:val="4058C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CA5101"/>
    <w:multiLevelType w:val="hybridMultilevel"/>
    <w:tmpl w:val="90CEBD8E"/>
    <w:lvl w:ilvl="0" w:tplc="8C24B000">
      <w:start w:val="1"/>
      <w:numFmt w:val="bullet"/>
      <w:lvlText w:val="•"/>
      <w:lvlJc w:val="left"/>
      <w:pPr>
        <w:tabs>
          <w:tab w:val="num" w:pos="720"/>
        </w:tabs>
        <w:ind w:left="720" w:hanging="360"/>
      </w:pPr>
      <w:rPr>
        <w:rFonts w:ascii="Arial" w:hAnsi="Arial" w:hint="default"/>
      </w:rPr>
    </w:lvl>
    <w:lvl w:ilvl="1" w:tplc="77600D2C" w:tentative="1">
      <w:start w:val="1"/>
      <w:numFmt w:val="bullet"/>
      <w:lvlText w:val="•"/>
      <w:lvlJc w:val="left"/>
      <w:pPr>
        <w:tabs>
          <w:tab w:val="num" w:pos="1440"/>
        </w:tabs>
        <w:ind w:left="1440" w:hanging="360"/>
      </w:pPr>
      <w:rPr>
        <w:rFonts w:ascii="Arial" w:hAnsi="Arial" w:hint="default"/>
      </w:rPr>
    </w:lvl>
    <w:lvl w:ilvl="2" w:tplc="D764CD82" w:tentative="1">
      <w:start w:val="1"/>
      <w:numFmt w:val="bullet"/>
      <w:lvlText w:val="•"/>
      <w:lvlJc w:val="left"/>
      <w:pPr>
        <w:tabs>
          <w:tab w:val="num" w:pos="2160"/>
        </w:tabs>
        <w:ind w:left="2160" w:hanging="360"/>
      </w:pPr>
      <w:rPr>
        <w:rFonts w:ascii="Arial" w:hAnsi="Arial" w:hint="default"/>
      </w:rPr>
    </w:lvl>
    <w:lvl w:ilvl="3" w:tplc="885CC032" w:tentative="1">
      <w:start w:val="1"/>
      <w:numFmt w:val="bullet"/>
      <w:lvlText w:val="•"/>
      <w:lvlJc w:val="left"/>
      <w:pPr>
        <w:tabs>
          <w:tab w:val="num" w:pos="2880"/>
        </w:tabs>
        <w:ind w:left="2880" w:hanging="360"/>
      </w:pPr>
      <w:rPr>
        <w:rFonts w:ascii="Arial" w:hAnsi="Arial" w:hint="default"/>
      </w:rPr>
    </w:lvl>
    <w:lvl w:ilvl="4" w:tplc="C3EEFC84" w:tentative="1">
      <w:start w:val="1"/>
      <w:numFmt w:val="bullet"/>
      <w:lvlText w:val="•"/>
      <w:lvlJc w:val="left"/>
      <w:pPr>
        <w:tabs>
          <w:tab w:val="num" w:pos="3600"/>
        </w:tabs>
        <w:ind w:left="3600" w:hanging="360"/>
      </w:pPr>
      <w:rPr>
        <w:rFonts w:ascii="Arial" w:hAnsi="Arial" w:hint="default"/>
      </w:rPr>
    </w:lvl>
    <w:lvl w:ilvl="5" w:tplc="F0A6BCF2" w:tentative="1">
      <w:start w:val="1"/>
      <w:numFmt w:val="bullet"/>
      <w:lvlText w:val="•"/>
      <w:lvlJc w:val="left"/>
      <w:pPr>
        <w:tabs>
          <w:tab w:val="num" w:pos="4320"/>
        </w:tabs>
        <w:ind w:left="4320" w:hanging="360"/>
      </w:pPr>
      <w:rPr>
        <w:rFonts w:ascii="Arial" w:hAnsi="Arial" w:hint="default"/>
      </w:rPr>
    </w:lvl>
    <w:lvl w:ilvl="6" w:tplc="203CFE98" w:tentative="1">
      <w:start w:val="1"/>
      <w:numFmt w:val="bullet"/>
      <w:lvlText w:val="•"/>
      <w:lvlJc w:val="left"/>
      <w:pPr>
        <w:tabs>
          <w:tab w:val="num" w:pos="5040"/>
        </w:tabs>
        <w:ind w:left="5040" w:hanging="360"/>
      </w:pPr>
      <w:rPr>
        <w:rFonts w:ascii="Arial" w:hAnsi="Arial" w:hint="default"/>
      </w:rPr>
    </w:lvl>
    <w:lvl w:ilvl="7" w:tplc="D1E271B2" w:tentative="1">
      <w:start w:val="1"/>
      <w:numFmt w:val="bullet"/>
      <w:lvlText w:val="•"/>
      <w:lvlJc w:val="left"/>
      <w:pPr>
        <w:tabs>
          <w:tab w:val="num" w:pos="5760"/>
        </w:tabs>
        <w:ind w:left="5760" w:hanging="360"/>
      </w:pPr>
      <w:rPr>
        <w:rFonts w:ascii="Arial" w:hAnsi="Arial" w:hint="default"/>
      </w:rPr>
    </w:lvl>
    <w:lvl w:ilvl="8" w:tplc="3282153C" w:tentative="1">
      <w:start w:val="1"/>
      <w:numFmt w:val="bullet"/>
      <w:lvlText w:val="•"/>
      <w:lvlJc w:val="left"/>
      <w:pPr>
        <w:tabs>
          <w:tab w:val="num" w:pos="6480"/>
        </w:tabs>
        <w:ind w:left="6480" w:hanging="360"/>
      </w:pPr>
      <w:rPr>
        <w:rFonts w:ascii="Arial" w:hAnsi="Arial" w:hint="default"/>
      </w:rPr>
    </w:lvl>
  </w:abstractNum>
  <w:num w:numId="1" w16cid:durableId="286592068">
    <w:abstractNumId w:val="1"/>
  </w:num>
  <w:num w:numId="2" w16cid:durableId="1523781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AFE"/>
    <w:rsid w:val="00004B55"/>
    <w:rsid w:val="00010F94"/>
    <w:rsid w:val="00030DB7"/>
    <w:rsid w:val="00060C37"/>
    <w:rsid w:val="0006321B"/>
    <w:rsid w:val="00087E92"/>
    <w:rsid w:val="00092C2A"/>
    <w:rsid w:val="001106F5"/>
    <w:rsid w:val="001116BC"/>
    <w:rsid w:val="001552D8"/>
    <w:rsid w:val="00163EA4"/>
    <w:rsid w:val="00165DB3"/>
    <w:rsid w:val="001D14F5"/>
    <w:rsid w:val="00293087"/>
    <w:rsid w:val="002A5CD6"/>
    <w:rsid w:val="0036781B"/>
    <w:rsid w:val="003E3971"/>
    <w:rsid w:val="003E46FD"/>
    <w:rsid w:val="003F2C29"/>
    <w:rsid w:val="0046791B"/>
    <w:rsid w:val="004A0BEC"/>
    <w:rsid w:val="004C1DB8"/>
    <w:rsid w:val="005E1B73"/>
    <w:rsid w:val="0061287F"/>
    <w:rsid w:val="00614CE0"/>
    <w:rsid w:val="006369F6"/>
    <w:rsid w:val="006E2BA0"/>
    <w:rsid w:val="00705ED7"/>
    <w:rsid w:val="007200A9"/>
    <w:rsid w:val="007B231F"/>
    <w:rsid w:val="008A0899"/>
    <w:rsid w:val="008F452B"/>
    <w:rsid w:val="00937FEF"/>
    <w:rsid w:val="009B4C21"/>
    <w:rsid w:val="009D4353"/>
    <w:rsid w:val="00A457B1"/>
    <w:rsid w:val="00A47B3B"/>
    <w:rsid w:val="00AE27BB"/>
    <w:rsid w:val="00B63DBE"/>
    <w:rsid w:val="00B6794F"/>
    <w:rsid w:val="00C149A6"/>
    <w:rsid w:val="00CB58A2"/>
    <w:rsid w:val="00D17643"/>
    <w:rsid w:val="00D73D02"/>
    <w:rsid w:val="00DD464F"/>
    <w:rsid w:val="00E2686D"/>
    <w:rsid w:val="00EC01CF"/>
    <w:rsid w:val="00ED5AFE"/>
    <w:rsid w:val="00EF427F"/>
    <w:rsid w:val="00F05F8E"/>
    <w:rsid w:val="00F74A15"/>
    <w:rsid w:val="00F97B19"/>
    <w:rsid w:val="00FE07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CE264"/>
  <w15:chartTrackingRefBased/>
  <w15:docId w15:val="{68A75400-EC75-48E7-B986-7C5EA48B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5AFE"/>
  </w:style>
  <w:style w:type="paragraph" w:styleId="berschrift1">
    <w:name w:val="heading 1"/>
    <w:basedOn w:val="Standard"/>
    <w:next w:val="Standard"/>
    <w:link w:val="berschrift1Zchn"/>
    <w:uiPriority w:val="9"/>
    <w:qFormat/>
    <w:rsid w:val="00ED5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D5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D5AF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D5AF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D5AF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D5AF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D5AF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D5AF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D5AF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D5AF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D5AF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D5AF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D5AF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D5AF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D5AF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D5AF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D5AF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D5AFE"/>
    <w:rPr>
      <w:rFonts w:eastAsiaTheme="majorEastAsia" w:cstheme="majorBidi"/>
      <w:color w:val="272727" w:themeColor="text1" w:themeTint="D8"/>
    </w:rPr>
  </w:style>
  <w:style w:type="paragraph" w:styleId="Titel">
    <w:name w:val="Title"/>
    <w:basedOn w:val="Standard"/>
    <w:next w:val="Standard"/>
    <w:link w:val="TitelZchn"/>
    <w:uiPriority w:val="10"/>
    <w:qFormat/>
    <w:rsid w:val="00ED5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D5AF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D5AF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D5AF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D5AF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D5AFE"/>
    <w:rPr>
      <w:i/>
      <w:iCs/>
      <w:color w:val="404040" w:themeColor="text1" w:themeTint="BF"/>
    </w:rPr>
  </w:style>
  <w:style w:type="paragraph" w:styleId="Listenabsatz">
    <w:name w:val="List Paragraph"/>
    <w:basedOn w:val="Standard"/>
    <w:uiPriority w:val="34"/>
    <w:qFormat/>
    <w:rsid w:val="00ED5AFE"/>
    <w:pPr>
      <w:ind w:left="720"/>
      <w:contextualSpacing/>
    </w:pPr>
  </w:style>
  <w:style w:type="character" w:styleId="IntensiveHervorhebung">
    <w:name w:val="Intense Emphasis"/>
    <w:basedOn w:val="Absatz-Standardschriftart"/>
    <w:uiPriority w:val="21"/>
    <w:qFormat/>
    <w:rsid w:val="00ED5AFE"/>
    <w:rPr>
      <w:i/>
      <w:iCs/>
      <w:color w:val="0F4761" w:themeColor="accent1" w:themeShade="BF"/>
    </w:rPr>
  </w:style>
  <w:style w:type="paragraph" w:styleId="IntensivesZitat">
    <w:name w:val="Intense Quote"/>
    <w:basedOn w:val="Standard"/>
    <w:next w:val="Standard"/>
    <w:link w:val="IntensivesZitatZchn"/>
    <w:uiPriority w:val="30"/>
    <w:qFormat/>
    <w:rsid w:val="00ED5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D5AFE"/>
    <w:rPr>
      <w:i/>
      <w:iCs/>
      <w:color w:val="0F4761" w:themeColor="accent1" w:themeShade="BF"/>
    </w:rPr>
  </w:style>
  <w:style w:type="character" w:styleId="IntensiverVerweis">
    <w:name w:val="Intense Reference"/>
    <w:basedOn w:val="Absatz-Standardschriftart"/>
    <w:uiPriority w:val="32"/>
    <w:qFormat/>
    <w:rsid w:val="00ED5AFE"/>
    <w:rPr>
      <w:b/>
      <w:bCs/>
      <w:smallCaps/>
      <w:color w:val="0F4761" w:themeColor="accent1" w:themeShade="BF"/>
      <w:spacing w:val="5"/>
    </w:rPr>
  </w:style>
  <w:style w:type="paragraph" w:styleId="StandardWeb">
    <w:name w:val="Normal (Web)"/>
    <w:basedOn w:val="Standard"/>
    <w:uiPriority w:val="99"/>
    <w:semiHidden/>
    <w:unhideWhenUsed/>
    <w:rsid w:val="008A0899"/>
    <w:rPr>
      <w:rFonts w:ascii="Times New Roman" w:hAnsi="Times New Roman" w:cs="Times New Roman"/>
    </w:rPr>
  </w:style>
  <w:style w:type="paragraph" w:styleId="Kopfzeile">
    <w:name w:val="header"/>
    <w:basedOn w:val="Standard"/>
    <w:link w:val="KopfzeileZchn"/>
    <w:uiPriority w:val="99"/>
    <w:unhideWhenUsed/>
    <w:rsid w:val="002930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93087"/>
  </w:style>
  <w:style w:type="paragraph" w:styleId="Fuzeile">
    <w:name w:val="footer"/>
    <w:basedOn w:val="Standard"/>
    <w:link w:val="FuzeileZchn"/>
    <w:uiPriority w:val="99"/>
    <w:unhideWhenUsed/>
    <w:rsid w:val="0029308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93087"/>
  </w:style>
  <w:style w:type="character" w:styleId="Hyperlink">
    <w:name w:val="Hyperlink"/>
    <w:basedOn w:val="Absatz-Standardschriftart"/>
    <w:uiPriority w:val="99"/>
    <w:unhideWhenUsed/>
    <w:rsid w:val="00293087"/>
    <w:rPr>
      <w:color w:val="467886" w:themeColor="hyperlink"/>
      <w:u w:val="single"/>
    </w:rPr>
  </w:style>
  <w:style w:type="character" w:styleId="NichtaufgelsteErwhnung">
    <w:name w:val="Unresolved Mention"/>
    <w:basedOn w:val="Absatz-Standardschriftart"/>
    <w:uiPriority w:val="99"/>
    <w:semiHidden/>
    <w:unhideWhenUsed/>
    <w:rsid w:val="00293087"/>
    <w:rPr>
      <w:color w:val="605E5C"/>
      <w:shd w:val="clear" w:color="auto" w:fill="E1DFDD"/>
    </w:rPr>
  </w:style>
  <w:style w:type="character" w:styleId="BesuchterLink">
    <w:name w:val="FollowedHyperlink"/>
    <w:basedOn w:val="Absatz-Standardschriftart"/>
    <w:uiPriority w:val="99"/>
    <w:semiHidden/>
    <w:unhideWhenUsed/>
    <w:rsid w:val="0029308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rst-by-fmd.de/" TargetMode="External"/><Relationship Id="rId3" Type="http://schemas.openxmlformats.org/officeDocument/2006/relationships/settings" Target="settings.xml"/><Relationship Id="rId7" Type="http://schemas.openxmlformats.org/officeDocument/2006/relationships/hyperlink" Target="mailto:birgit.metzger@mikroelektronik.fraunhof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first-by-fm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3955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Metzger, Birgit</dc:creator>
  <cp:keywords/>
  <dc:description/>
  <cp:lastModifiedBy>Metzger, Birgit</cp:lastModifiedBy>
  <cp:revision>9</cp:revision>
  <dcterms:created xsi:type="dcterms:W3CDTF">2026-04-24T09:00:00Z</dcterms:created>
  <dcterms:modified xsi:type="dcterms:W3CDTF">2026-05-06T13:39:00Z</dcterms:modified>
</cp:coreProperties>
</file>